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A9E" w:rsidRDefault="00CC563F" w:rsidP="00CC563F">
      <w:pPr>
        <w:rPr>
          <w:b/>
          <w:bCs/>
          <w:smallCaps/>
          <w:sz w:val="40"/>
          <w:szCs w:val="40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228C8B8A" wp14:editId="04D1EBC7">
            <wp:extent cx="2038350" cy="702627"/>
            <wp:effectExtent l="0" t="0" r="0" b="2540"/>
            <wp:docPr id="2" name="Picture 2" descr="C:\Users\KNielson\AppData\Local\Microsoft\Windows\Temporary Internet Files\Content.Outlook\T61WYTMM\NG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Nielson\AppData\Local\Microsoft\Windows\Temporary Internet Files\Content.Outlook\T61WYTMM\NG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259" cy="70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</w:t>
      </w:r>
      <w:r w:rsidR="00C82A9E">
        <w:t xml:space="preserve">    </w:t>
      </w:r>
      <w:r>
        <w:t xml:space="preserve">                          </w:t>
      </w:r>
      <w:r>
        <w:rPr>
          <w:noProof/>
        </w:rPr>
        <w:drawing>
          <wp:inline distT="0" distB="0" distL="0" distR="0" wp14:anchorId="3948F39D" wp14:editId="3EB695AB">
            <wp:extent cx="2717988" cy="600075"/>
            <wp:effectExtent l="0" t="0" r="6350" b="0"/>
            <wp:docPr id="1" name="Picture 1" descr="\\Vader\AgencyFiles\PolicyPlanningAndResearch\Disability Task Force\Logos &amp; Icons\WSAC LOGO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Vader\AgencyFiles\PolicyPlanningAndResearch\Disability Task Force\Logos &amp; Icons\WSAC LOGO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988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CC563F" w:rsidRPr="00955DCD" w:rsidRDefault="00CC563F" w:rsidP="00CC563F">
      <w:pPr>
        <w:jc w:val="center"/>
        <w:rPr>
          <w:b/>
          <w:bCs/>
          <w:smallCaps/>
          <w:sz w:val="40"/>
          <w:szCs w:val="40"/>
        </w:rPr>
      </w:pPr>
      <w:r>
        <w:rPr>
          <w:b/>
          <w:bCs/>
          <w:smallCaps/>
          <w:sz w:val="40"/>
          <w:szCs w:val="40"/>
        </w:rPr>
        <w:t>Improving</w:t>
      </w:r>
      <w:r w:rsidRPr="00955DCD">
        <w:rPr>
          <w:b/>
          <w:bCs/>
          <w:smallCaps/>
          <w:sz w:val="40"/>
          <w:szCs w:val="40"/>
        </w:rPr>
        <w:t xml:space="preserve"> </w:t>
      </w:r>
      <w:r>
        <w:rPr>
          <w:b/>
          <w:bCs/>
          <w:smallCaps/>
          <w:sz w:val="40"/>
          <w:szCs w:val="40"/>
        </w:rPr>
        <w:t>Student Learning at Scale</w:t>
      </w:r>
    </w:p>
    <w:p w:rsidR="00CC563F" w:rsidRPr="00806087" w:rsidRDefault="00F365B6" w:rsidP="0080608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Background and </w:t>
      </w:r>
      <w:r w:rsidR="00CC563F" w:rsidRPr="00806087">
        <w:rPr>
          <w:b/>
          <w:sz w:val="24"/>
          <w:szCs w:val="24"/>
        </w:rPr>
        <w:t xml:space="preserve">Summary </w:t>
      </w:r>
    </w:p>
    <w:p w:rsidR="00F365B6" w:rsidRDefault="00CC563F" w:rsidP="004526E9">
      <w:r>
        <w:t>Washington is currently working to implement Common Core State Standards (CCSS) across the state</w:t>
      </w:r>
      <w:r w:rsidR="005B5ADD">
        <w:t xml:space="preserve">, which </w:t>
      </w:r>
      <w:r w:rsidR="00093B27">
        <w:t xml:space="preserve">is </w:t>
      </w:r>
      <w:r w:rsidR="005B5ADD">
        <w:t>debut</w:t>
      </w:r>
      <w:r w:rsidR="00093B27">
        <w:t xml:space="preserve">ing </w:t>
      </w:r>
      <w:r w:rsidR="005B5ADD">
        <w:t xml:space="preserve">in classrooms in </w:t>
      </w:r>
      <w:r w:rsidR="00093B27">
        <w:t xml:space="preserve">this </w:t>
      </w:r>
      <w:r w:rsidR="005B5ADD">
        <w:t>2013-14 academic year</w:t>
      </w:r>
      <w:r>
        <w:t>.</w:t>
      </w:r>
      <w:r w:rsidR="005B5ADD">
        <w:t xml:space="preserve"> Washington </w:t>
      </w:r>
      <w:proofErr w:type="gramStart"/>
      <w:r w:rsidR="004A5830">
        <w:t>s</w:t>
      </w:r>
      <w:r w:rsidR="005B5ADD">
        <w:t>tate</w:t>
      </w:r>
      <w:proofErr w:type="gramEnd"/>
      <w:r w:rsidR="005B5ADD">
        <w:t xml:space="preserve"> has a unique educational governance structure consisting of various agencies, boards, and organizations. Therefore, i</w:t>
      </w:r>
      <w:r>
        <w:t xml:space="preserve">n order to ensure successful implementation of CCSS, the state will need to coordinate the diverse agencies to form a common vision and plan for implementation. </w:t>
      </w:r>
    </w:p>
    <w:p w:rsidR="005B5ADD" w:rsidRDefault="005B5ADD" w:rsidP="004526E9">
      <w:pPr>
        <w:spacing w:after="0"/>
      </w:pPr>
      <w:r>
        <w:t xml:space="preserve">The </w:t>
      </w:r>
      <w:r w:rsidR="006F6C2A">
        <w:t>Improving Student Learning at Scale (ISLS) Collaborative, convened by the</w:t>
      </w:r>
      <w:r>
        <w:t xml:space="preserve"> </w:t>
      </w:r>
      <w:r w:rsidR="006F6C2A">
        <w:t xml:space="preserve">Washington Student Achievement Council, </w:t>
      </w:r>
      <w:r w:rsidR="00297CF8">
        <w:t>is working to guide implementation efforts relating to CCSS. Washington is</w:t>
      </w:r>
      <w:r w:rsidR="006F6C2A">
        <w:t xml:space="preserve"> one of six states that </w:t>
      </w:r>
      <w:r w:rsidR="00297CF8">
        <w:t>were</w:t>
      </w:r>
      <w:r w:rsidR="006F6C2A">
        <w:t xml:space="preserve"> selected </w:t>
      </w:r>
      <w:r w:rsidR="00297CF8">
        <w:t>by the National Governor’s Association to establish a collaborative</w:t>
      </w:r>
      <w:r w:rsidR="006F6C2A">
        <w:t xml:space="preserve">, along with Arizona, California, New Hampshire, West Virginia, and Wyoming. </w:t>
      </w:r>
      <w:r>
        <w:t xml:space="preserve">During the next year and half, the </w:t>
      </w:r>
      <w:r w:rsidR="006F6C2A">
        <w:t xml:space="preserve">Washington </w:t>
      </w:r>
      <w:r>
        <w:t>leadership team plans to address the following objectives:</w:t>
      </w:r>
    </w:p>
    <w:p w:rsidR="005B5ADD" w:rsidRDefault="005B5ADD" w:rsidP="004526E9">
      <w:pPr>
        <w:pStyle w:val="ListParagraph"/>
        <w:numPr>
          <w:ilvl w:val="0"/>
          <w:numId w:val="1"/>
        </w:numPr>
        <w:spacing w:after="0"/>
      </w:pPr>
      <w:r>
        <w:t>Create a common vision between organizations for the work to be carried out</w:t>
      </w:r>
      <w:r w:rsidR="00093B27">
        <w:t>.</w:t>
      </w:r>
    </w:p>
    <w:p w:rsidR="00806087" w:rsidRDefault="00806087" w:rsidP="00806087">
      <w:pPr>
        <w:pStyle w:val="ListParagraph"/>
        <w:numPr>
          <w:ilvl w:val="0"/>
          <w:numId w:val="1"/>
        </w:numPr>
      </w:pPr>
      <w:r>
        <w:t>Develop a comprehensive communications plan</w:t>
      </w:r>
      <w:r w:rsidR="00093B27">
        <w:t>.</w:t>
      </w:r>
    </w:p>
    <w:p w:rsidR="003F7139" w:rsidRDefault="003F7139" w:rsidP="00806087">
      <w:pPr>
        <w:pStyle w:val="ListParagraph"/>
        <w:numPr>
          <w:ilvl w:val="0"/>
          <w:numId w:val="1"/>
        </w:numPr>
      </w:pPr>
      <w:r>
        <w:t xml:space="preserve">Facilitate planning and </w:t>
      </w:r>
      <w:r w:rsidR="00C82A9E">
        <w:t xml:space="preserve">coordination </w:t>
      </w:r>
      <w:r>
        <w:t>across the state</w:t>
      </w:r>
      <w:r w:rsidR="00093B27">
        <w:t>.</w:t>
      </w:r>
    </w:p>
    <w:p w:rsidR="003F7139" w:rsidRPr="004526E9" w:rsidRDefault="00297CF8" w:rsidP="004526E9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t>Identify and connect CCSS implementation efforts across the state.</w:t>
      </w:r>
    </w:p>
    <w:p w:rsidR="00F365B6" w:rsidRDefault="00F365B6" w:rsidP="00806087">
      <w:pPr>
        <w:spacing w:after="0"/>
        <w:rPr>
          <w:b/>
          <w:sz w:val="24"/>
          <w:szCs w:val="24"/>
        </w:rPr>
      </w:pPr>
    </w:p>
    <w:p w:rsidR="003F7139" w:rsidRDefault="003F7139" w:rsidP="0080608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Focus Areas</w:t>
      </w:r>
    </w:p>
    <w:p w:rsidR="003F7139" w:rsidRDefault="003F7139" w:rsidP="00806087">
      <w:pPr>
        <w:spacing w:after="0"/>
      </w:pPr>
      <w:r w:rsidRPr="003F7139">
        <w:t xml:space="preserve">The </w:t>
      </w:r>
      <w:r>
        <w:t>work group began meeting in December 2013. Since then, they have identified several focus areas</w:t>
      </w:r>
      <w:r w:rsidR="00F365B6">
        <w:t xml:space="preserve"> of work</w:t>
      </w:r>
      <w:r>
        <w:t>. These include:</w:t>
      </w:r>
    </w:p>
    <w:p w:rsidR="003F7139" w:rsidRDefault="003F7139" w:rsidP="003F7139">
      <w:pPr>
        <w:pStyle w:val="ListParagraph"/>
        <w:numPr>
          <w:ilvl w:val="0"/>
          <w:numId w:val="1"/>
        </w:numPr>
      </w:pPr>
      <w:r>
        <w:t>Determine the use of the Smarter Balanced Assessment to inform 12</w:t>
      </w:r>
      <w:r w:rsidRPr="005B5ADD">
        <w:rPr>
          <w:vertAlign w:val="superscript"/>
        </w:rPr>
        <w:t>th</w:t>
      </w:r>
      <w:r>
        <w:t xml:space="preserve"> grade coursework</w:t>
      </w:r>
      <w:r w:rsidR="00093B27">
        <w:t>.</w:t>
      </w:r>
    </w:p>
    <w:p w:rsidR="003F7139" w:rsidRDefault="00F365B6" w:rsidP="003F7139">
      <w:pPr>
        <w:pStyle w:val="ListParagraph"/>
        <w:numPr>
          <w:ilvl w:val="0"/>
          <w:numId w:val="1"/>
        </w:numPr>
      </w:pPr>
      <w:r>
        <w:t>Create 12</w:t>
      </w:r>
      <w:r w:rsidRPr="004526E9">
        <w:rPr>
          <w:vertAlign w:val="superscript"/>
        </w:rPr>
        <w:t>th</w:t>
      </w:r>
      <w:r>
        <w:t xml:space="preserve"> grade transition courses for students not quite prepared for college-level work.</w:t>
      </w:r>
    </w:p>
    <w:p w:rsidR="003F7139" w:rsidRDefault="00297CF8" w:rsidP="003F7139">
      <w:pPr>
        <w:pStyle w:val="ListParagraph"/>
        <w:numPr>
          <w:ilvl w:val="0"/>
          <w:numId w:val="1"/>
        </w:numPr>
      </w:pPr>
      <w:r>
        <w:t>Streamline dual credit enrollment to ensure equitable opportunities for all high school students</w:t>
      </w:r>
      <w:r w:rsidR="00F365B6">
        <w:t>.</w:t>
      </w:r>
    </w:p>
    <w:p w:rsidR="00F365B6" w:rsidRDefault="003F7139" w:rsidP="004526E9">
      <w:pPr>
        <w:pStyle w:val="ListParagraph"/>
        <w:numPr>
          <w:ilvl w:val="0"/>
          <w:numId w:val="1"/>
        </w:numPr>
      </w:pPr>
      <w:r>
        <w:t>Enhance</w:t>
      </w:r>
      <w:r w:rsidR="00297CF8">
        <w:t xml:space="preserve"> and strengthen</w:t>
      </w:r>
      <w:r>
        <w:t xml:space="preserve"> High School and Beyond Plan</w:t>
      </w:r>
      <w:r w:rsidR="00297CF8">
        <w:t>s.</w:t>
      </w:r>
    </w:p>
    <w:p w:rsidR="003F7139" w:rsidRPr="004526E9" w:rsidRDefault="003F7139" w:rsidP="004526E9">
      <w:pPr>
        <w:pStyle w:val="ListParagraph"/>
        <w:rPr>
          <w:b/>
          <w:sz w:val="24"/>
          <w:szCs w:val="24"/>
        </w:rPr>
      </w:pPr>
    </w:p>
    <w:p w:rsidR="00806087" w:rsidRPr="00806087" w:rsidRDefault="003F7139" w:rsidP="0080608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Core </w:t>
      </w:r>
      <w:r w:rsidR="00806087" w:rsidRPr="00806087">
        <w:rPr>
          <w:b/>
          <w:sz w:val="24"/>
          <w:szCs w:val="24"/>
        </w:rPr>
        <w:t>State Team</w:t>
      </w:r>
    </w:p>
    <w:p w:rsidR="00806087" w:rsidRDefault="00806087" w:rsidP="004526E9">
      <w:pPr>
        <w:spacing w:after="0"/>
      </w:pPr>
      <w:r>
        <w:t xml:space="preserve">The Washington </w:t>
      </w:r>
      <w:r w:rsidR="00C82A9E">
        <w:t>s</w:t>
      </w:r>
      <w:r>
        <w:t>tate primary team members include</w:t>
      </w:r>
      <w:r w:rsidR="003F7139">
        <w:t xml:space="preserve"> the following individuals:</w:t>
      </w:r>
    </w:p>
    <w:p w:rsidR="00806087" w:rsidRDefault="00806087" w:rsidP="004526E9">
      <w:pPr>
        <w:pStyle w:val="ListParagraph"/>
        <w:numPr>
          <w:ilvl w:val="0"/>
          <w:numId w:val="3"/>
        </w:numPr>
        <w:spacing w:after="0"/>
      </w:pPr>
      <w:r>
        <w:t>Dr. Gene Sharratt, Executive Director, Washington Student Achievement Council</w:t>
      </w:r>
    </w:p>
    <w:p w:rsidR="00806087" w:rsidRDefault="00806087" w:rsidP="00806087">
      <w:pPr>
        <w:pStyle w:val="ListParagraph"/>
        <w:numPr>
          <w:ilvl w:val="0"/>
          <w:numId w:val="3"/>
        </w:numPr>
      </w:pPr>
      <w:r>
        <w:t>Marcie Maxwell, Senior Education Policy Advisor, Governor’s Legislative Affairs and Policy Office</w:t>
      </w:r>
    </w:p>
    <w:p w:rsidR="00806087" w:rsidRDefault="00806087" w:rsidP="00806087">
      <w:pPr>
        <w:pStyle w:val="ListParagraph"/>
        <w:numPr>
          <w:ilvl w:val="0"/>
          <w:numId w:val="3"/>
        </w:numPr>
      </w:pPr>
      <w:r>
        <w:t>Representative Larry Seaquist, Chair, House Higher Education Committee</w:t>
      </w:r>
    </w:p>
    <w:p w:rsidR="00806087" w:rsidRDefault="00806087" w:rsidP="00806087">
      <w:pPr>
        <w:pStyle w:val="ListParagraph"/>
        <w:numPr>
          <w:ilvl w:val="0"/>
          <w:numId w:val="3"/>
        </w:numPr>
      </w:pPr>
      <w:r>
        <w:t>Randy Dorn, Superintendent of Public Instruction</w:t>
      </w:r>
    </w:p>
    <w:p w:rsidR="00806087" w:rsidRDefault="00806087" w:rsidP="00806087">
      <w:pPr>
        <w:pStyle w:val="ListParagraph"/>
        <w:numPr>
          <w:ilvl w:val="0"/>
          <w:numId w:val="3"/>
        </w:numPr>
      </w:pPr>
      <w:r>
        <w:t>Paul Francis, Executive Director, Council of Presidents</w:t>
      </w:r>
    </w:p>
    <w:p w:rsidR="00806087" w:rsidRDefault="00806087" w:rsidP="00806087">
      <w:pPr>
        <w:pStyle w:val="ListParagraph"/>
        <w:numPr>
          <w:ilvl w:val="0"/>
          <w:numId w:val="3"/>
        </w:numPr>
      </w:pPr>
      <w:r>
        <w:t>Marty Brown, Executive Director, Washington State Board for Community and Technical Colleges</w:t>
      </w:r>
    </w:p>
    <w:p w:rsidR="00806087" w:rsidRDefault="00806087" w:rsidP="00806087">
      <w:pPr>
        <w:pStyle w:val="ListParagraph"/>
        <w:numPr>
          <w:ilvl w:val="0"/>
          <w:numId w:val="3"/>
        </w:numPr>
      </w:pPr>
      <w:r>
        <w:t>Ben Rarick, Executive Director, State Board of Education</w:t>
      </w:r>
    </w:p>
    <w:p w:rsidR="003F7139" w:rsidRDefault="003F7139" w:rsidP="003F7139">
      <w:r>
        <w:t xml:space="preserve">The Washington State team has expanded since the work began and now includes a team of </w:t>
      </w:r>
      <w:r w:rsidR="00093B27">
        <w:t xml:space="preserve">more than </w:t>
      </w:r>
      <w:r>
        <w:t xml:space="preserve">20 individuals from these agencies and </w:t>
      </w:r>
      <w:r w:rsidR="00093B27">
        <w:t>others</w:t>
      </w:r>
      <w:r>
        <w:t xml:space="preserve">. </w:t>
      </w:r>
    </w:p>
    <w:sectPr w:rsidR="003F7139" w:rsidSect="00CC56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11020"/>
    <w:multiLevelType w:val="hybridMultilevel"/>
    <w:tmpl w:val="BC105E8E"/>
    <w:lvl w:ilvl="0" w:tplc="040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">
    <w:nsid w:val="3AEA740D"/>
    <w:multiLevelType w:val="hybridMultilevel"/>
    <w:tmpl w:val="DD78F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CB0129"/>
    <w:multiLevelType w:val="hybridMultilevel"/>
    <w:tmpl w:val="7E6E9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37925"/>
    <w:multiLevelType w:val="hybridMultilevel"/>
    <w:tmpl w:val="AD9A9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63F"/>
    <w:rsid w:val="000010DF"/>
    <w:rsid w:val="00005ADB"/>
    <w:rsid w:val="00040F3D"/>
    <w:rsid w:val="00093B27"/>
    <w:rsid w:val="00095E2F"/>
    <w:rsid w:val="000F1663"/>
    <w:rsid w:val="00102809"/>
    <w:rsid w:val="00121285"/>
    <w:rsid w:val="00124A5B"/>
    <w:rsid w:val="00132FEE"/>
    <w:rsid w:val="00166A69"/>
    <w:rsid w:val="001E1BD6"/>
    <w:rsid w:val="00230AF8"/>
    <w:rsid w:val="00262802"/>
    <w:rsid w:val="002715C5"/>
    <w:rsid w:val="00297CF8"/>
    <w:rsid w:val="002A0EFA"/>
    <w:rsid w:val="002B503C"/>
    <w:rsid w:val="002C593D"/>
    <w:rsid w:val="002D13CD"/>
    <w:rsid w:val="00317452"/>
    <w:rsid w:val="00341BA1"/>
    <w:rsid w:val="00390047"/>
    <w:rsid w:val="003C2A87"/>
    <w:rsid w:val="003C3AF1"/>
    <w:rsid w:val="003E427F"/>
    <w:rsid w:val="003F7139"/>
    <w:rsid w:val="004526E9"/>
    <w:rsid w:val="004569C7"/>
    <w:rsid w:val="0048184D"/>
    <w:rsid w:val="00487D14"/>
    <w:rsid w:val="004A4012"/>
    <w:rsid w:val="004A5231"/>
    <w:rsid w:val="004A5830"/>
    <w:rsid w:val="004C771B"/>
    <w:rsid w:val="004D3040"/>
    <w:rsid w:val="0053519A"/>
    <w:rsid w:val="00544FEE"/>
    <w:rsid w:val="00557D1D"/>
    <w:rsid w:val="005722B3"/>
    <w:rsid w:val="005B36B6"/>
    <w:rsid w:val="005B5ADD"/>
    <w:rsid w:val="005C482D"/>
    <w:rsid w:val="00606C10"/>
    <w:rsid w:val="00617AEA"/>
    <w:rsid w:val="006223AB"/>
    <w:rsid w:val="00642583"/>
    <w:rsid w:val="0069075F"/>
    <w:rsid w:val="006F6C2A"/>
    <w:rsid w:val="0076083B"/>
    <w:rsid w:val="0077248E"/>
    <w:rsid w:val="0077605C"/>
    <w:rsid w:val="00784B54"/>
    <w:rsid w:val="007C081B"/>
    <w:rsid w:val="007D4DCA"/>
    <w:rsid w:val="007E7492"/>
    <w:rsid w:val="00806087"/>
    <w:rsid w:val="00806A1D"/>
    <w:rsid w:val="00856822"/>
    <w:rsid w:val="00856AAD"/>
    <w:rsid w:val="0094388A"/>
    <w:rsid w:val="009933BB"/>
    <w:rsid w:val="00A9044D"/>
    <w:rsid w:val="00AE1537"/>
    <w:rsid w:val="00AE6DB9"/>
    <w:rsid w:val="00B03252"/>
    <w:rsid w:val="00B60A8C"/>
    <w:rsid w:val="00B708AC"/>
    <w:rsid w:val="00B73454"/>
    <w:rsid w:val="00B86A81"/>
    <w:rsid w:val="00BA2526"/>
    <w:rsid w:val="00BB7369"/>
    <w:rsid w:val="00BF375E"/>
    <w:rsid w:val="00C20ADC"/>
    <w:rsid w:val="00C563BF"/>
    <w:rsid w:val="00C63267"/>
    <w:rsid w:val="00C82A9E"/>
    <w:rsid w:val="00C96258"/>
    <w:rsid w:val="00CC563F"/>
    <w:rsid w:val="00D40428"/>
    <w:rsid w:val="00D40DFA"/>
    <w:rsid w:val="00DD61DD"/>
    <w:rsid w:val="00E446E7"/>
    <w:rsid w:val="00E741A9"/>
    <w:rsid w:val="00E837BD"/>
    <w:rsid w:val="00EA0B2B"/>
    <w:rsid w:val="00EC3BAE"/>
    <w:rsid w:val="00ED29D8"/>
    <w:rsid w:val="00EE6B14"/>
    <w:rsid w:val="00EF2FB4"/>
    <w:rsid w:val="00F04782"/>
    <w:rsid w:val="00F05E57"/>
    <w:rsid w:val="00F365B6"/>
    <w:rsid w:val="00F91BC4"/>
    <w:rsid w:val="00F929C9"/>
    <w:rsid w:val="00FD0A9C"/>
    <w:rsid w:val="00F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5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6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B5A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5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6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B5A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Student Achievement Council</Company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Messerly, Anne (WSAC)</dc:creator>
  <cp:lastModifiedBy>Messerly, Anne (WSAC)</cp:lastModifiedBy>
  <cp:revision>2</cp:revision>
  <dcterms:created xsi:type="dcterms:W3CDTF">2014-01-15T23:06:00Z</dcterms:created>
  <dcterms:modified xsi:type="dcterms:W3CDTF">2014-01-15T23:06:00Z</dcterms:modified>
</cp:coreProperties>
</file>